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8743E9">
      <w:pPr>
        <w:ind w:right="-13"/>
        <w:jc w:val="center"/>
        <w:rPr>
          <w:color w:val="auto"/>
          <w:sz w:val="26"/>
          <w:szCs w:val="26"/>
        </w:rPr>
      </w:pPr>
      <w:r>
        <w:rPr>
          <w:b/>
          <w:bCs/>
          <w:color w:val="auto"/>
          <w:sz w:val="26"/>
          <w:szCs w:val="26"/>
        </w:rPr>
        <w:t xml:space="preserve">Phụ lục III </w:t>
      </w:r>
    </w:p>
    <w:p w14:paraId="43450634">
      <w:pPr>
        <w:shd w:val="clear" w:color="auto" w:fill="FFFFFF"/>
        <w:jc w:val="center"/>
        <w:rPr>
          <w:color w:val="auto"/>
        </w:rPr>
      </w:pPr>
      <w:r>
        <w:rPr>
          <w:b/>
          <w:bCs/>
          <w:color w:val="auto"/>
        </w:rPr>
        <w:t>DANH MỤC</w:t>
      </w:r>
    </w:p>
    <w:p w14:paraId="4A0BDA72">
      <w:pPr>
        <w:shd w:val="clear" w:color="auto" w:fill="FFFFFF"/>
        <w:jc w:val="center"/>
        <w:rPr>
          <w:color w:val="auto"/>
        </w:rPr>
      </w:pPr>
      <w:r>
        <w:rPr>
          <w:b/>
          <w:bCs/>
          <w:color w:val="auto"/>
        </w:rPr>
        <w:t>Văn bản quy phạm pháp luật đề xuất ban hành mới</w:t>
      </w:r>
    </w:p>
    <w:p w14:paraId="43C83449">
      <w:pPr>
        <w:tabs>
          <w:tab w:val="right" w:pos="6804"/>
        </w:tabs>
        <w:jc w:val="center"/>
        <w:rPr>
          <w:b/>
          <w:bCs/>
          <w:color w:val="auto"/>
          <w:sz w:val="26"/>
          <w:szCs w:val="26"/>
        </w:rPr>
      </w:pPr>
      <w:r>
        <w:rPr>
          <w:b/>
          <w:bCs/>
          <w:color w:val="auto"/>
          <w:sz w:val="26"/>
          <w:szCs w:val="26"/>
        </w:rPr>
        <w:t xml:space="preserve">Cơ quan rà soát: Bộ Khoa học và Công nghệ </w:t>
      </w:r>
    </w:p>
    <w:p w14:paraId="19286C6A">
      <w:pPr>
        <w:tabs>
          <w:tab w:val="right" w:leader="dot" w:pos="6804"/>
        </w:tabs>
        <w:jc w:val="center"/>
        <w:rPr>
          <w:bCs/>
          <w:i/>
          <w:iCs/>
          <w:color w:val="auto"/>
          <w:sz w:val="26"/>
          <w:szCs w:val="26"/>
        </w:rPr>
      </w:pPr>
      <w:r>
        <w:rPr>
          <w:bCs/>
          <w:i/>
          <w:iCs/>
          <w:color w:val="auto"/>
          <w:sz w:val="26"/>
          <w:szCs w:val="26"/>
        </w:rPr>
        <w:t xml:space="preserve">(Kèm theo </w:t>
      </w:r>
      <w:r>
        <w:rPr>
          <w:rFonts w:hint="default"/>
          <w:bCs/>
          <w:i/>
          <w:iCs/>
          <w:color w:val="auto"/>
          <w:sz w:val="26"/>
          <w:szCs w:val="26"/>
          <w:lang w:val="en-US"/>
        </w:rPr>
        <w:t>Công văn</w:t>
      </w:r>
      <w:r>
        <w:rPr>
          <w:bCs/>
          <w:i/>
          <w:iCs/>
          <w:color w:val="auto"/>
          <w:sz w:val="26"/>
          <w:szCs w:val="26"/>
        </w:rPr>
        <w:t xml:space="preserve"> số                ngày      tháng      năm 2026 của Bộ</w:t>
      </w:r>
      <w:r>
        <w:rPr>
          <w:rFonts w:hint="default"/>
          <w:bCs/>
          <w:i/>
          <w:iCs/>
          <w:color w:val="auto"/>
          <w:sz w:val="26"/>
          <w:szCs w:val="26"/>
        </w:rPr>
        <w:t xml:space="preserve"> Khoa học và Công nghệ </w:t>
      </w:r>
      <w:r>
        <w:rPr>
          <w:bCs/>
          <w:i/>
          <w:iCs/>
          <w:color w:val="auto"/>
          <w:sz w:val="26"/>
          <w:szCs w:val="26"/>
        </w:rPr>
        <w:t>)</w:t>
      </w:r>
    </w:p>
    <w:p w14:paraId="1282A730">
      <w:pPr>
        <w:tabs>
          <w:tab w:val="right" w:pos="6804"/>
        </w:tabs>
        <w:jc w:val="center"/>
        <w:rPr>
          <w:rFonts w:hint="default"/>
          <w:b/>
          <w:bCs/>
          <w:color w:val="auto"/>
          <w:sz w:val="26"/>
          <w:szCs w:val="26"/>
          <w:lang w:val="en-US"/>
        </w:rPr>
      </w:pPr>
      <w:r>
        <w:rPr>
          <w:rFonts w:hint="default"/>
          <w:bCs/>
          <w:i/>
          <w:iCs/>
          <w:color w:val="auto"/>
          <w:sz w:val="26"/>
          <w:szCs w:val="26"/>
          <w:vertAlign w:val="superscript"/>
          <w:lang w:val="en-US"/>
        </w:rPr>
        <w:t>____________________</w:t>
      </w:r>
    </w:p>
    <w:p w14:paraId="06383DFF">
      <w:pPr>
        <w:tabs>
          <w:tab w:val="right" w:leader="dot" w:pos="6804"/>
        </w:tabs>
        <w:jc w:val="center"/>
        <w:rPr>
          <w:bCs/>
          <w:i/>
          <w:iCs/>
          <w:color w:val="auto"/>
          <w:sz w:val="26"/>
          <w:szCs w:val="26"/>
          <w:vertAlign w:val="superscript"/>
        </w:rPr>
      </w:pPr>
    </w:p>
    <w:p w14:paraId="4CDFB623">
      <w:pPr>
        <w:shd w:val="clear" w:color="auto" w:fill="FFFFFF"/>
        <w:rPr>
          <w:rFonts w:ascii="Arial" w:hAnsi="Arial" w:eastAsia="Arial" w:cs="Arial"/>
          <w:color w:val="auto"/>
          <w:sz w:val="18"/>
          <w:szCs w:val="18"/>
        </w:rPr>
      </w:pPr>
    </w:p>
    <w:tbl>
      <w:tblPr>
        <w:tblStyle w:val="19"/>
        <w:tblW w:w="157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1720"/>
        <w:gridCol w:w="2322"/>
        <w:gridCol w:w="2726"/>
        <w:gridCol w:w="1281"/>
        <w:gridCol w:w="1203"/>
        <w:gridCol w:w="1113"/>
        <w:gridCol w:w="1401"/>
        <w:gridCol w:w="3263"/>
      </w:tblGrid>
      <w:tr w14:paraId="4AF31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blHeader/>
          <w:jc w:val="center"/>
        </w:trPr>
        <w:tc>
          <w:tcPr>
            <w:tcW w:w="703" w:type="dxa"/>
            <w:vAlign w:val="center"/>
          </w:tcPr>
          <w:p w14:paraId="1A0B0F1B">
            <w:pPr>
              <w:jc w:val="center"/>
              <w:rPr>
                <w:color w:val="auto"/>
                <w:sz w:val="22"/>
                <w:szCs w:val="22"/>
              </w:rPr>
            </w:pPr>
            <w:r>
              <w:rPr>
                <w:b/>
                <w:bCs/>
                <w:color w:val="auto"/>
                <w:sz w:val="22"/>
                <w:szCs w:val="22"/>
              </w:rPr>
              <w:t>STT</w:t>
            </w:r>
          </w:p>
        </w:tc>
        <w:tc>
          <w:tcPr>
            <w:tcW w:w="1720" w:type="dxa"/>
            <w:vAlign w:val="center"/>
          </w:tcPr>
          <w:p w14:paraId="354F4086">
            <w:pPr>
              <w:jc w:val="center"/>
              <w:rPr>
                <w:color w:val="auto"/>
                <w:sz w:val="22"/>
                <w:szCs w:val="22"/>
              </w:rPr>
            </w:pPr>
            <w:r>
              <w:rPr>
                <w:b/>
                <w:bCs/>
                <w:color w:val="auto"/>
                <w:sz w:val="22"/>
                <w:szCs w:val="22"/>
              </w:rPr>
              <w:t>Tên VB</w:t>
            </w:r>
          </w:p>
          <w:p w14:paraId="3C6B139F">
            <w:pPr>
              <w:jc w:val="center"/>
              <w:rPr>
                <w:color w:val="auto"/>
                <w:sz w:val="22"/>
                <w:szCs w:val="22"/>
                <w:vertAlign w:val="superscript"/>
              </w:rPr>
            </w:pPr>
            <w:r>
              <w:rPr>
                <w:b/>
                <w:bCs/>
                <w:color w:val="auto"/>
                <w:sz w:val="22"/>
                <w:szCs w:val="22"/>
              </w:rPr>
              <w:t>đề xuất ban hành mới</w:t>
            </w:r>
          </w:p>
        </w:tc>
        <w:tc>
          <w:tcPr>
            <w:tcW w:w="2322" w:type="dxa"/>
            <w:vAlign w:val="center"/>
          </w:tcPr>
          <w:p w14:paraId="72DC846A">
            <w:pPr>
              <w:jc w:val="center"/>
              <w:rPr>
                <w:color w:val="auto"/>
                <w:sz w:val="22"/>
                <w:szCs w:val="22"/>
              </w:rPr>
            </w:pPr>
            <w:r>
              <w:rPr>
                <w:b/>
                <w:bCs/>
                <w:color w:val="auto"/>
                <w:sz w:val="22"/>
                <w:szCs w:val="22"/>
              </w:rPr>
              <w:t>Căn cứ rà soát</w:t>
            </w:r>
          </w:p>
        </w:tc>
        <w:tc>
          <w:tcPr>
            <w:tcW w:w="2726" w:type="dxa"/>
            <w:vAlign w:val="center"/>
          </w:tcPr>
          <w:p w14:paraId="10D0C58E">
            <w:pPr>
              <w:ind w:right="112"/>
              <w:jc w:val="center"/>
              <w:rPr>
                <w:color w:val="auto"/>
                <w:sz w:val="22"/>
                <w:szCs w:val="22"/>
              </w:rPr>
            </w:pPr>
            <w:r>
              <w:rPr>
                <w:b/>
                <w:bCs/>
                <w:color w:val="auto"/>
                <w:sz w:val="22"/>
                <w:szCs w:val="22"/>
              </w:rPr>
              <w:t>VBQPPL hiện hành liên quan đến VB đề xuất ban hành mới</w:t>
            </w:r>
          </w:p>
          <w:p w14:paraId="3437938E">
            <w:pPr>
              <w:ind w:right="112"/>
              <w:jc w:val="center"/>
              <w:rPr>
                <w:color w:val="auto"/>
                <w:sz w:val="22"/>
                <w:szCs w:val="22"/>
              </w:rPr>
            </w:pPr>
            <w:r>
              <w:rPr>
                <w:i/>
                <w:iCs/>
                <w:color w:val="auto"/>
                <w:sz w:val="22"/>
                <w:szCs w:val="22"/>
              </w:rPr>
              <w:t>(trong trường hợp đề xuất</w:t>
            </w:r>
          </w:p>
          <w:p w14:paraId="5324868D">
            <w:pPr>
              <w:ind w:right="112"/>
              <w:jc w:val="center"/>
              <w:rPr>
                <w:color w:val="auto"/>
                <w:sz w:val="22"/>
                <w:szCs w:val="22"/>
              </w:rPr>
            </w:pPr>
            <w:r>
              <w:rPr>
                <w:i/>
                <w:iCs/>
                <w:color w:val="auto"/>
                <w:sz w:val="22"/>
                <w:szCs w:val="22"/>
              </w:rPr>
              <w:t>ban hành VBQPPL có hiệu lực pháp lý cao hơn)</w:t>
            </w:r>
          </w:p>
        </w:tc>
        <w:tc>
          <w:tcPr>
            <w:tcW w:w="1281" w:type="dxa"/>
            <w:vAlign w:val="center"/>
          </w:tcPr>
          <w:p w14:paraId="3B4AB281">
            <w:pPr>
              <w:jc w:val="center"/>
              <w:rPr>
                <w:color w:val="auto"/>
                <w:sz w:val="22"/>
                <w:szCs w:val="22"/>
              </w:rPr>
            </w:pPr>
            <w:r>
              <w:rPr>
                <w:b/>
                <w:bCs/>
                <w:color w:val="auto"/>
                <w:sz w:val="22"/>
                <w:szCs w:val="22"/>
              </w:rPr>
              <w:t>Dự kiến phạm vi điều chỉnh của VB</w:t>
            </w:r>
          </w:p>
        </w:tc>
        <w:tc>
          <w:tcPr>
            <w:tcW w:w="1203" w:type="dxa"/>
            <w:vAlign w:val="center"/>
          </w:tcPr>
          <w:p w14:paraId="3BAECC31">
            <w:pPr>
              <w:jc w:val="center"/>
              <w:rPr>
                <w:color w:val="auto"/>
                <w:sz w:val="22"/>
                <w:szCs w:val="22"/>
              </w:rPr>
            </w:pPr>
            <w:r>
              <w:rPr>
                <w:b/>
                <w:bCs/>
                <w:color w:val="auto"/>
                <w:sz w:val="22"/>
                <w:szCs w:val="22"/>
              </w:rPr>
              <w:t>Lộ trình</w:t>
            </w:r>
          </w:p>
          <w:p w14:paraId="3BDC38A9">
            <w:pPr>
              <w:jc w:val="center"/>
              <w:rPr>
                <w:color w:val="auto"/>
                <w:sz w:val="22"/>
                <w:szCs w:val="22"/>
              </w:rPr>
            </w:pPr>
            <w:r>
              <w:rPr>
                <w:b/>
                <w:bCs/>
                <w:color w:val="auto"/>
                <w:sz w:val="22"/>
                <w:szCs w:val="22"/>
              </w:rPr>
              <w:t>xây dựng,</w:t>
            </w:r>
          </w:p>
          <w:p w14:paraId="0A768277">
            <w:pPr>
              <w:jc w:val="center"/>
              <w:rPr>
                <w:color w:val="auto"/>
                <w:sz w:val="22"/>
                <w:szCs w:val="22"/>
              </w:rPr>
            </w:pPr>
            <w:r>
              <w:rPr>
                <w:b/>
                <w:bCs/>
                <w:color w:val="auto"/>
                <w:sz w:val="22"/>
                <w:szCs w:val="22"/>
              </w:rPr>
              <w:t>ban hành VB</w:t>
            </w:r>
          </w:p>
        </w:tc>
        <w:tc>
          <w:tcPr>
            <w:tcW w:w="1113" w:type="dxa"/>
            <w:vAlign w:val="center"/>
          </w:tcPr>
          <w:p w14:paraId="7F77C540">
            <w:pPr>
              <w:jc w:val="center"/>
              <w:rPr>
                <w:color w:val="auto"/>
                <w:sz w:val="22"/>
                <w:szCs w:val="22"/>
              </w:rPr>
            </w:pPr>
            <w:r>
              <w:rPr>
                <w:b/>
                <w:bCs/>
                <w:color w:val="auto"/>
                <w:sz w:val="22"/>
                <w:szCs w:val="22"/>
              </w:rPr>
              <w:t>Tiêu chí</w:t>
            </w:r>
          </w:p>
          <w:p w14:paraId="30D72708">
            <w:pPr>
              <w:jc w:val="center"/>
              <w:rPr>
                <w:color w:val="auto"/>
                <w:sz w:val="22"/>
                <w:szCs w:val="22"/>
              </w:rPr>
            </w:pPr>
            <w:r>
              <w:rPr>
                <w:b/>
                <w:bCs/>
                <w:color w:val="auto"/>
                <w:sz w:val="22"/>
                <w:szCs w:val="22"/>
              </w:rPr>
              <w:t>rà soát</w:t>
            </w:r>
          </w:p>
        </w:tc>
        <w:tc>
          <w:tcPr>
            <w:tcW w:w="1401" w:type="dxa"/>
            <w:vAlign w:val="center"/>
          </w:tcPr>
          <w:p w14:paraId="49011E45">
            <w:pPr>
              <w:jc w:val="center"/>
              <w:rPr>
                <w:color w:val="auto"/>
                <w:sz w:val="22"/>
                <w:szCs w:val="22"/>
              </w:rPr>
            </w:pPr>
            <w:r>
              <w:rPr>
                <w:b/>
                <w:bCs/>
                <w:color w:val="auto"/>
                <w:sz w:val="22"/>
                <w:szCs w:val="22"/>
              </w:rPr>
              <w:t>Ghi chú</w:t>
            </w:r>
          </w:p>
        </w:tc>
        <w:tc>
          <w:tcPr>
            <w:tcW w:w="3263" w:type="dxa"/>
            <w:vAlign w:val="center"/>
          </w:tcPr>
          <w:p w14:paraId="0F1DC0FC">
            <w:pPr>
              <w:ind w:right="138"/>
              <w:jc w:val="center"/>
              <w:rPr>
                <w:b/>
                <w:bCs/>
                <w:color w:val="auto"/>
                <w:sz w:val="22"/>
                <w:szCs w:val="22"/>
              </w:rPr>
            </w:pPr>
            <w:r>
              <w:rPr>
                <w:b/>
                <w:bCs/>
                <w:color w:val="auto"/>
                <w:sz w:val="22"/>
                <w:szCs w:val="22"/>
              </w:rPr>
              <w:t>Ý kiến của Bộ Tư pháp</w:t>
            </w:r>
          </w:p>
        </w:tc>
      </w:tr>
      <w:tr w14:paraId="08461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blHeader/>
          <w:jc w:val="center"/>
        </w:trPr>
        <w:tc>
          <w:tcPr>
            <w:tcW w:w="703" w:type="dxa"/>
            <w:vAlign w:val="center"/>
          </w:tcPr>
          <w:p w14:paraId="6AEDB203">
            <w:pPr>
              <w:jc w:val="center"/>
              <w:rPr>
                <w:color w:val="auto"/>
                <w:sz w:val="22"/>
                <w:szCs w:val="22"/>
              </w:rPr>
            </w:pPr>
            <w:r>
              <w:rPr>
                <w:b/>
                <w:bCs/>
                <w:color w:val="auto"/>
                <w:sz w:val="22"/>
                <w:szCs w:val="22"/>
              </w:rPr>
              <w:t>(1)</w:t>
            </w:r>
          </w:p>
        </w:tc>
        <w:tc>
          <w:tcPr>
            <w:tcW w:w="1720" w:type="dxa"/>
            <w:vAlign w:val="center"/>
          </w:tcPr>
          <w:p w14:paraId="3BD30564">
            <w:pPr>
              <w:jc w:val="center"/>
              <w:rPr>
                <w:color w:val="auto"/>
                <w:sz w:val="22"/>
                <w:szCs w:val="22"/>
              </w:rPr>
            </w:pPr>
            <w:r>
              <w:rPr>
                <w:b/>
                <w:bCs/>
                <w:color w:val="auto"/>
                <w:sz w:val="22"/>
                <w:szCs w:val="22"/>
              </w:rPr>
              <w:t>(2)</w:t>
            </w:r>
          </w:p>
        </w:tc>
        <w:tc>
          <w:tcPr>
            <w:tcW w:w="2322" w:type="dxa"/>
            <w:vAlign w:val="center"/>
          </w:tcPr>
          <w:p w14:paraId="2982A12D">
            <w:pPr>
              <w:jc w:val="center"/>
              <w:rPr>
                <w:color w:val="auto"/>
                <w:sz w:val="22"/>
                <w:szCs w:val="22"/>
              </w:rPr>
            </w:pPr>
            <w:r>
              <w:rPr>
                <w:b/>
                <w:bCs/>
                <w:color w:val="auto"/>
                <w:sz w:val="22"/>
                <w:szCs w:val="22"/>
              </w:rPr>
              <w:t>(3)</w:t>
            </w:r>
          </w:p>
        </w:tc>
        <w:tc>
          <w:tcPr>
            <w:tcW w:w="2726" w:type="dxa"/>
            <w:vAlign w:val="center"/>
          </w:tcPr>
          <w:p w14:paraId="136DF8A4">
            <w:pPr>
              <w:ind w:right="112"/>
              <w:jc w:val="center"/>
              <w:rPr>
                <w:color w:val="auto"/>
                <w:sz w:val="22"/>
                <w:szCs w:val="22"/>
              </w:rPr>
            </w:pPr>
            <w:r>
              <w:rPr>
                <w:b/>
                <w:bCs/>
                <w:color w:val="auto"/>
                <w:sz w:val="22"/>
                <w:szCs w:val="22"/>
              </w:rPr>
              <w:t>(4)</w:t>
            </w:r>
          </w:p>
        </w:tc>
        <w:tc>
          <w:tcPr>
            <w:tcW w:w="1281" w:type="dxa"/>
            <w:vAlign w:val="center"/>
          </w:tcPr>
          <w:p w14:paraId="7CE87561">
            <w:pPr>
              <w:jc w:val="center"/>
              <w:rPr>
                <w:color w:val="auto"/>
                <w:sz w:val="22"/>
                <w:szCs w:val="22"/>
              </w:rPr>
            </w:pPr>
            <w:r>
              <w:rPr>
                <w:b/>
                <w:bCs/>
                <w:color w:val="auto"/>
                <w:sz w:val="22"/>
                <w:szCs w:val="22"/>
              </w:rPr>
              <w:t>(5)</w:t>
            </w:r>
          </w:p>
        </w:tc>
        <w:tc>
          <w:tcPr>
            <w:tcW w:w="1203" w:type="dxa"/>
            <w:vAlign w:val="center"/>
          </w:tcPr>
          <w:p w14:paraId="7CEC0737">
            <w:pPr>
              <w:jc w:val="center"/>
              <w:rPr>
                <w:color w:val="auto"/>
                <w:sz w:val="22"/>
                <w:szCs w:val="22"/>
              </w:rPr>
            </w:pPr>
            <w:r>
              <w:rPr>
                <w:b/>
                <w:bCs/>
                <w:color w:val="auto"/>
                <w:sz w:val="22"/>
                <w:szCs w:val="22"/>
              </w:rPr>
              <w:t>(6)</w:t>
            </w:r>
          </w:p>
        </w:tc>
        <w:tc>
          <w:tcPr>
            <w:tcW w:w="1113" w:type="dxa"/>
          </w:tcPr>
          <w:p w14:paraId="05DDC84A">
            <w:pPr>
              <w:jc w:val="center"/>
              <w:rPr>
                <w:color w:val="auto"/>
                <w:sz w:val="22"/>
                <w:szCs w:val="22"/>
              </w:rPr>
            </w:pPr>
            <w:r>
              <w:rPr>
                <w:b/>
                <w:bCs/>
                <w:color w:val="auto"/>
                <w:sz w:val="22"/>
                <w:szCs w:val="22"/>
              </w:rPr>
              <w:t>(7)</w:t>
            </w:r>
          </w:p>
        </w:tc>
        <w:tc>
          <w:tcPr>
            <w:tcW w:w="1401" w:type="dxa"/>
            <w:vAlign w:val="center"/>
          </w:tcPr>
          <w:p w14:paraId="28596360">
            <w:pPr>
              <w:jc w:val="center"/>
              <w:rPr>
                <w:color w:val="auto"/>
                <w:sz w:val="22"/>
                <w:szCs w:val="22"/>
              </w:rPr>
            </w:pPr>
            <w:r>
              <w:rPr>
                <w:b/>
                <w:bCs/>
                <w:color w:val="auto"/>
                <w:sz w:val="22"/>
                <w:szCs w:val="22"/>
              </w:rPr>
              <w:t>(8)</w:t>
            </w:r>
          </w:p>
        </w:tc>
        <w:tc>
          <w:tcPr>
            <w:tcW w:w="3263" w:type="dxa"/>
          </w:tcPr>
          <w:p w14:paraId="0EFAB4ED">
            <w:pPr>
              <w:ind w:right="138"/>
              <w:jc w:val="center"/>
              <w:rPr>
                <w:b/>
                <w:bCs/>
                <w:color w:val="auto"/>
                <w:sz w:val="22"/>
                <w:szCs w:val="22"/>
              </w:rPr>
            </w:pPr>
          </w:p>
        </w:tc>
      </w:tr>
      <w:tr w14:paraId="5457A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jc w:val="center"/>
        </w:trPr>
        <w:tc>
          <w:tcPr>
            <w:tcW w:w="703" w:type="dxa"/>
            <w:shd w:val="clear" w:color="auto" w:fill="FFFFFF"/>
          </w:tcPr>
          <w:p w14:paraId="5D2583E2">
            <w:pPr>
              <w:spacing w:before="120" w:after="120"/>
              <w:jc w:val="center"/>
              <w:rPr>
                <w:b/>
                <w:bCs/>
                <w:color w:val="auto"/>
                <w:sz w:val="24"/>
                <w:szCs w:val="24"/>
              </w:rPr>
            </w:pPr>
          </w:p>
        </w:tc>
        <w:tc>
          <w:tcPr>
            <w:tcW w:w="15029" w:type="dxa"/>
            <w:gridSpan w:val="8"/>
            <w:shd w:val="clear" w:color="auto" w:fill="FFFFFF"/>
            <w:vAlign w:val="center"/>
          </w:tcPr>
          <w:p w14:paraId="45E09801">
            <w:pPr>
              <w:spacing w:before="120" w:after="120"/>
              <w:ind w:left="6" w:right="136" w:firstLine="284"/>
              <w:jc w:val="center"/>
              <w:rPr>
                <w:b/>
                <w:bCs/>
                <w:color w:val="auto"/>
                <w:sz w:val="24"/>
                <w:szCs w:val="24"/>
              </w:rPr>
            </w:pPr>
            <w:r>
              <w:rPr>
                <w:b/>
                <w:bCs/>
                <w:color w:val="auto"/>
                <w:sz w:val="24"/>
                <w:szCs w:val="24"/>
              </w:rPr>
              <w:t>I. LĨNH VỰC CHUYỂN GIAO CÔNG NGHỆ</w:t>
            </w:r>
          </w:p>
        </w:tc>
      </w:tr>
      <w:tr w14:paraId="060590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jc w:val="center"/>
        </w:trPr>
        <w:tc>
          <w:tcPr>
            <w:tcW w:w="703" w:type="dxa"/>
            <w:shd w:val="clear" w:color="auto" w:fill="FFFFFF"/>
            <w:vAlign w:val="center"/>
          </w:tcPr>
          <w:p w14:paraId="415CC106">
            <w:pPr>
              <w:numPr>
                <w:ilvl w:val="0"/>
                <w:numId w:val="1"/>
              </w:numPr>
              <w:spacing w:before="120" w:after="120"/>
              <w:jc w:val="center"/>
              <w:rPr>
                <w:color w:val="auto"/>
                <w:sz w:val="24"/>
                <w:szCs w:val="24"/>
              </w:rPr>
            </w:pPr>
          </w:p>
        </w:tc>
        <w:tc>
          <w:tcPr>
            <w:tcW w:w="1720" w:type="dxa"/>
            <w:shd w:val="clear" w:color="auto" w:fill="FFFFFF"/>
          </w:tcPr>
          <w:p w14:paraId="1E65DDFF">
            <w:pPr>
              <w:ind w:left="1"/>
              <w:jc w:val="both"/>
              <w:rPr>
                <w:color w:val="auto"/>
                <w:sz w:val="24"/>
                <w:szCs w:val="24"/>
              </w:rPr>
            </w:pPr>
            <w:r>
              <w:rPr>
                <w:color w:val="auto"/>
                <w:sz w:val="24"/>
                <w:szCs w:val="24"/>
              </w:rPr>
              <w:t xml:space="preserve">Thông tư của Bộ trưởng Bộ KH&amp;CN quy định việc nhập khẩu máy móc, thiết bị, dây chuyền công nghệ đã qua sử dụng </w:t>
            </w:r>
          </w:p>
        </w:tc>
        <w:tc>
          <w:tcPr>
            <w:tcW w:w="2322" w:type="dxa"/>
            <w:shd w:val="clear" w:color="auto" w:fill="FFFFFF"/>
          </w:tcPr>
          <w:p w14:paraId="4731D215">
            <w:pPr>
              <w:pStyle w:val="15"/>
              <w:keepNext w:val="0"/>
              <w:keepLines w:val="0"/>
              <w:widowControl/>
              <w:suppressLineNumbers w:val="0"/>
              <w:bidi w:val="0"/>
              <w:spacing w:before="120" w:beforeAutospacing="0" w:after="120" w:afterAutospacing="0" w:line="15" w:lineRule="atLeast"/>
              <w:ind w:left="140" w:leftChars="0" w:right="120" w:firstLine="0" w:firstLineChars="0"/>
              <w:jc w:val="both"/>
              <w:rPr>
                <w:rFonts w:hint="default" w:ascii="Times New Roman" w:hAnsi="Times New Roman" w:cs="Times New Roman"/>
                <w:i w:val="0"/>
                <w:iCs w:val="0"/>
                <w:color w:val="auto"/>
                <w:sz w:val="22"/>
                <w:szCs w:val="22"/>
                <w:u w:val="none"/>
                <w:vertAlign w:val="baseline"/>
                <w:lang w:val="en-US"/>
              </w:rPr>
            </w:pPr>
            <w:r>
              <w:rPr>
                <w:rFonts w:hint="default" w:ascii="Times New Roman" w:hAnsi="Times New Roman" w:cs="Times New Roman"/>
                <w:i w:val="0"/>
                <w:iCs w:val="0"/>
                <w:color w:val="auto"/>
                <w:sz w:val="22"/>
                <w:szCs w:val="22"/>
                <w:u w:val="none"/>
                <w:vertAlign w:val="baseline"/>
              </w:rPr>
              <w:t>Khoản 2 Điều 9 Nghị định số 292/2026/NĐ-CP</w:t>
            </w:r>
            <w:r>
              <w:rPr>
                <w:rFonts w:hint="default" w:ascii="Times New Roman" w:hAnsi="Times New Roman" w:cs="Times New Roman"/>
                <w:i w:val="0"/>
                <w:iCs w:val="0"/>
                <w:color w:val="auto"/>
                <w:sz w:val="22"/>
                <w:szCs w:val="22"/>
                <w:u w:val="none"/>
                <w:vertAlign w:val="baseline"/>
                <w:lang w:val="en-US"/>
              </w:rPr>
              <w:t xml:space="preserve"> ngày 22/7/2026</w:t>
            </w:r>
            <w:r>
              <w:rPr>
                <w:rFonts w:hint="default" w:ascii="Times New Roman" w:hAnsi="Times New Roman" w:cs="Times New Roman"/>
                <w:i w:val="0"/>
                <w:iCs w:val="0"/>
                <w:color w:val="auto"/>
                <w:sz w:val="22"/>
                <w:szCs w:val="22"/>
                <w:u w:val="none"/>
                <w:vertAlign w:val="baseline"/>
              </w:rPr>
              <w:t xml:space="preserve"> </w:t>
            </w:r>
            <w:r>
              <w:rPr>
                <w:rFonts w:hint="default" w:ascii="Times New Roman" w:hAnsi="Times New Roman"/>
                <w:i w:val="0"/>
                <w:iCs w:val="0"/>
                <w:color w:val="auto"/>
                <w:sz w:val="22"/>
                <w:szCs w:val="22"/>
                <w:u w:val="none"/>
                <w:vertAlign w:val="baseline"/>
                <w:lang w:val="en-US"/>
              </w:rPr>
              <w:t>q</w:t>
            </w:r>
            <w:r>
              <w:rPr>
                <w:rFonts w:hint="default" w:ascii="Times New Roman" w:hAnsi="Times New Roman"/>
                <w:i w:val="0"/>
                <w:iCs w:val="0"/>
                <w:color w:val="auto"/>
                <w:sz w:val="22"/>
                <w:szCs w:val="22"/>
                <w:u w:val="none"/>
                <w:vertAlign w:val="baseline"/>
              </w:rPr>
              <w:t>uy định chi tiết một số điều và biện pháp để tổ chức, hướng dẫn thi hành Luật Quản lý ngoại thương</w:t>
            </w:r>
            <w:r>
              <w:rPr>
                <w:rFonts w:hint="default" w:ascii="Times New Roman" w:hAnsi="Times New Roman"/>
                <w:i w:val="0"/>
                <w:iCs w:val="0"/>
                <w:color w:val="auto"/>
                <w:sz w:val="22"/>
                <w:szCs w:val="22"/>
                <w:u w:val="none"/>
                <w:vertAlign w:val="baseline"/>
                <w:lang w:val="en-US"/>
              </w:rPr>
              <w:t xml:space="preserve"> </w:t>
            </w:r>
            <w:r>
              <w:rPr>
                <w:rFonts w:hint="default" w:ascii="Times New Roman" w:hAnsi="Times New Roman" w:cs="Times New Roman"/>
                <w:i w:val="0"/>
                <w:iCs w:val="0"/>
                <w:color w:val="auto"/>
                <w:sz w:val="22"/>
                <w:szCs w:val="22"/>
                <w:u w:val="none"/>
                <w:vertAlign w:val="baseline"/>
              </w:rPr>
              <w:t>quy định:</w:t>
            </w:r>
            <w:r>
              <w:rPr>
                <w:rFonts w:hint="default" w:ascii="Times New Roman" w:hAnsi="Times New Roman" w:cs="Times New Roman"/>
                <w:i w:val="0"/>
                <w:iCs w:val="0"/>
                <w:color w:val="auto"/>
                <w:sz w:val="22"/>
                <w:szCs w:val="22"/>
                <w:u w:val="none"/>
                <w:vertAlign w:val="baseline"/>
                <w:lang w:val="en-US"/>
              </w:rPr>
              <w:t xml:space="preserve"> </w:t>
            </w:r>
          </w:p>
          <w:p w14:paraId="06A4DEF9">
            <w:pPr>
              <w:pStyle w:val="15"/>
              <w:keepNext w:val="0"/>
              <w:keepLines w:val="0"/>
              <w:widowControl/>
              <w:suppressLineNumbers w:val="0"/>
              <w:bidi w:val="0"/>
              <w:spacing w:before="120" w:beforeAutospacing="0" w:after="120" w:afterAutospacing="0" w:line="15" w:lineRule="atLeast"/>
              <w:ind w:left="140" w:leftChars="0" w:right="120" w:firstLine="0" w:firstLineChars="0"/>
              <w:jc w:val="both"/>
              <w:rPr>
                <w:rFonts w:hint="default" w:ascii="Times New Roman" w:hAnsi="Times New Roman" w:cs="Times New Roman"/>
                <w:i w:val="0"/>
                <w:iCs w:val="0"/>
                <w:color w:val="auto"/>
                <w:sz w:val="22"/>
                <w:szCs w:val="22"/>
                <w:u w:val="none"/>
                <w:vertAlign w:val="baseline"/>
              </w:rPr>
            </w:pPr>
            <w:r>
              <w:rPr>
                <w:rFonts w:hint="default" w:ascii="Times New Roman" w:hAnsi="Times New Roman" w:cs="Times New Roman"/>
                <w:i w:val="0"/>
                <w:iCs w:val="0"/>
                <w:color w:val="auto"/>
                <w:sz w:val="22"/>
                <w:szCs w:val="22"/>
                <w:u w:val="none"/>
                <w:vertAlign w:val="baseline"/>
              </w:rPr>
              <w:t>“2. Bộ trưởng Bộ Khoa học và Công nghệ quy định việc nhập khẩu máy móc, thiết bị, dây chuyền công nghệ đã qua sử dụng”.</w:t>
            </w:r>
          </w:p>
          <w:p w14:paraId="13ADB4CD">
            <w:pPr>
              <w:pStyle w:val="15"/>
              <w:keepNext w:val="0"/>
              <w:keepLines w:val="0"/>
              <w:widowControl/>
              <w:suppressLineNumbers w:val="0"/>
              <w:bidi w:val="0"/>
              <w:spacing w:before="120" w:beforeAutospacing="0" w:after="120" w:afterAutospacing="0" w:line="15" w:lineRule="atLeast"/>
              <w:ind w:left="140" w:leftChars="0" w:right="120" w:firstLine="0" w:firstLineChars="0"/>
              <w:jc w:val="both"/>
              <w:rPr>
                <w:color w:val="auto"/>
                <w:sz w:val="24"/>
                <w:szCs w:val="24"/>
              </w:rPr>
            </w:pPr>
            <w:r>
              <w:rPr>
                <w:rFonts w:hint="default" w:ascii="Times New Roman" w:hAnsi="Times New Roman" w:cs="Times New Roman"/>
                <w:i w:val="0"/>
                <w:iCs w:val="0"/>
                <w:color w:val="auto"/>
                <w:sz w:val="22"/>
                <w:szCs w:val="22"/>
                <w:u w:val="none"/>
                <w:vertAlign w:val="baseline"/>
              </w:rPr>
              <w:t>Vì vậy, theo Luật Ban hành văn bản quy phạm pháp luật, khi Nghị định số 292/2026/NĐ-CP có hiệu lực, Quyết định số 18/2019/QĐ- TTg sẽ hết hiệu lực do Nghị định số 69/2018/NĐ-CP được thay thế bởi Nghị định số 292/2026/NĐ-CP nêu trên và cần thiết ban hành thông tư của Bộ trưởng Bộ KH&amp;CN để hướng dẫn.</w:t>
            </w:r>
          </w:p>
        </w:tc>
        <w:tc>
          <w:tcPr>
            <w:tcW w:w="2726" w:type="dxa"/>
            <w:shd w:val="clear" w:color="auto" w:fill="FFFFFF"/>
          </w:tcPr>
          <w:p w14:paraId="014A2762">
            <w:pPr>
              <w:pStyle w:val="15"/>
              <w:keepNext w:val="0"/>
              <w:keepLines w:val="0"/>
              <w:widowControl/>
              <w:suppressLineNumbers w:val="0"/>
              <w:bidi w:val="0"/>
              <w:spacing w:before="120" w:beforeAutospacing="0" w:after="120" w:afterAutospacing="0" w:line="15" w:lineRule="atLeast"/>
              <w:ind w:left="140" w:leftChars="0" w:right="120" w:firstLine="0" w:firstLineChars="0"/>
              <w:jc w:val="both"/>
              <w:rPr>
                <w:rFonts w:hint="default"/>
                <w:color w:val="auto"/>
                <w:sz w:val="24"/>
                <w:szCs w:val="24"/>
                <w:lang w:val="en-US"/>
              </w:rPr>
            </w:pPr>
            <w:r>
              <w:rPr>
                <w:rFonts w:hint="default"/>
                <w:color w:val="auto"/>
                <w:sz w:val="24"/>
                <w:szCs w:val="24"/>
                <w:lang w:val="en-US"/>
              </w:rPr>
              <w:t xml:space="preserve">Chưa có quy định do </w:t>
            </w:r>
            <w:r>
              <w:rPr>
                <w:rFonts w:hint="default" w:ascii="Times New Roman" w:hAnsi="Times New Roman" w:eastAsia="SimSun" w:cs="Times New Roman"/>
                <w:i w:val="0"/>
                <w:iCs w:val="0"/>
                <w:color w:val="auto"/>
                <w:sz w:val="24"/>
                <w:szCs w:val="24"/>
                <w:u w:val="none"/>
                <w:vertAlign w:val="baseline"/>
              </w:rPr>
              <w:t> Quyết định số 18/2019/QĐ-TTg ngày 19/4/20</w:t>
            </w:r>
            <w:bookmarkStart w:id="1" w:name="_GoBack"/>
            <w:bookmarkEnd w:id="1"/>
            <w:r>
              <w:rPr>
                <w:rFonts w:hint="default" w:ascii="Times New Roman" w:hAnsi="Times New Roman" w:eastAsia="SimSun" w:cs="Times New Roman"/>
                <w:i w:val="0"/>
                <w:iCs w:val="0"/>
                <w:color w:val="auto"/>
                <w:sz w:val="24"/>
                <w:szCs w:val="24"/>
                <w:u w:val="none"/>
                <w:vertAlign w:val="baseline"/>
              </w:rPr>
              <w:t>19 của Thủ tướng Chính phủ quy định việc nhập khẩu máy móc, thiết bị, dây chuyền công nghệ đã qua sử dụng</w:t>
            </w:r>
            <w:r>
              <w:rPr>
                <w:rFonts w:hint="default" w:ascii="Times New Roman" w:hAnsi="Times New Roman" w:eastAsia="SimSun" w:cs="Times New Roman"/>
                <w:i w:val="0"/>
                <w:iCs w:val="0"/>
                <w:color w:val="auto"/>
                <w:sz w:val="24"/>
                <w:szCs w:val="24"/>
                <w:u w:val="none"/>
                <w:vertAlign w:val="baseline"/>
                <w:lang w:val="en-US"/>
              </w:rPr>
              <w:t xml:space="preserve"> đã hết hiệu lực cùng với N</w:t>
            </w:r>
            <w:r>
              <w:rPr>
                <w:rFonts w:hint="default" w:ascii="Times New Roman" w:hAnsi="Times New Roman" w:eastAsia="SimSun" w:cs="Times New Roman"/>
                <w:i w:val="0"/>
                <w:iCs w:val="0"/>
                <w:color w:val="auto"/>
                <w:sz w:val="24"/>
                <w:szCs w:val="24"/>
                <w:u w:val="none"/>
                <w:vertAlign w:val="baseline"/>
              </w:rPr>
              <w:t>ghị định số 69/2018/NĐ-CP</w:t>
            </w:r>
            <w:r>
              <w:rPr>
                <w:rFonts w:hint="default" w:ascii="Times New Roman" w:hAnsi="Times New Roman" w:eastAsia="SimSun" w:cs="Times New Roman"/>
                <w:i w:val="0"/>
                <w:iCs w:val="0"/>
                <w:color w:val="auto"/>
                <w:sz w:val="24"/>
                <w:szCs w:val="24"/>
                <w:u w:val="none"/>
                <w:vertAlign w:val="baseline"/>
                <w:lang w:val="en-US"/>
              </w:rPr>
              <w:t xml:space="preserve"> ngày 15/5/2026 của Chính phủ </w:t>
            </w:r>
            <w:r>
              <w:rPr>
                <w:rFonts w:hint="default" w:ascii="Times New Roman" w:hAnsi="Times New Roman" w:eastAsia="SimSun" w:cs="Times New Roman"/>
                <w:i w:val="0"/>
                <w:iCs w:val="0"/>
                <w:color w:val="auto"/>
                <w:sz w:val="24"/>
                <w:szCs w:val="24"/>
                <w:u w:val="none"/>
                <w:vertAlign w:val="baseline"/>
              </w:rPr>
              <w:t>quy định chi tiết một số Điều của </w:t>
            </w:r>
            <w:bookmarkStart w:id="0" w:name="tvpllink_pugiufdkvo_1"/>
            <w:r>
              <w:rPr>
                <w:rFonts w:hint="default" w:ascii="Times New Roman" w:hAnsi="Times New Roman" w:eastAsia="SimSun" w:cs="Times New Roman"/>
                <w:i w:val="0"/>
                <w:iCs w:val="0"/>
                <w:color w:val="auto"/>
                <w:sz w:val="24"/>
                <w:szCs w:val="24"/>
                <w:u w:val="none"/>
                <w:vertAlign w:val="baseline"/>
              </w:rPr>
              <w:t>Luật Quản lý ngoại thương</w:t>
            </w:r>
            <w:bookmarkEnd w:id="0"/>
          </w:p>
        </w:tc>
        <w:tc>
          <w:tcPr>
            <w:tcW w:w="1281" w:type="dxa"/>
            <w:shd w:val="clear" w:color="auto" w:fill="FFFFFF"/>
            <w:vAlign w:val="center"/>
          </w:tcPr>
          <w:p w14:paraId="14D58756">
            <w:pPr>
              <w:jc w:val="both"/>
              <w:rPr>
                <w:color w:val="auto"/>
                <w:sz w:val="24"/>
                <w:szCs w:val="24"/>
              </w:rPr>
            </w:pPr>
            <w:r>
              <w:rPr>
                <w:color w:val="auto"/>
                <w:sz w:val="24"/>
                <w:szCs w:val="24"/>
              </w:rPr>
              <w:t>Quy định việc nhập khẩu máy móc, thiết bị, dây chuyền công nghệ đã qua sử dụng</w:t>
            </w:r>
          </w:p>
        </w:tc>
        <w:tc>
          <w:tcPr>
            <w:tcW w:w="1203" w:type="dxa"/>
            <w:shd w:val="clear" w:color="auto" w:fill="FFFFFF"/>
          </w:tcPr>
          <w:p w14:paraId="5EB5B294">
            <w:pPr>
              <w:spacing w:before="120" w:after="120"/>
              <w:jc w:val="center"/>
              <w:rPr>
                <w:color w:val="auto"/>
                <w:sz w:val="24"/>
                <w:szCs w:val="24"/>
              </w:rPr>
            </w:pPr>
            <w:r>
              <w:rPr>
                <w:color w:val="auto"/>
                <w:sz w:val="24"/>
                <w:szCs w:val="24"/>
              </w:rPr>
              <w:t>Năm 2027</w:t>
            </w:r>
          </w:p>
        </w:tc>
        <w:tc>
          <w:tcPr>
            <w:tcW w:w="1113" w:type="dxa"/>
            <w:shd w:val="clear" w:color="auto" w:fill="FFFFFF"/>
          </w:tcPr>
          <w:p w14:paraId="7B90AFEA">
            <w:pPr>
              <w:spacing w:before="120" w:after="120"/>
              <w:jc w:val="center"/>
              <w:rPr>
                <w:color w:val="auto"/>
                <w:sz w:val="24"/>
                <w:szCs w:val="24"/>
              </w:rPr>
            </w:pPr>
            <w:r>
              <w:rPr>
                <w:color w:val="auto"/>
                <w:sz w:val="24"/>
                <w:szCs w:val="24"/>
              </w:rPr>
              <w:t xml:space="preserve">Tiêu chí số </w:t>
            </w:r>
            <w:r>
              <w:rPr>
                <w:rFonts w:hint="default"/>
                <w:color w:val="auto"/>
                <w:sz w:val="24"/>
                <w:szCs w:val="24"/>
                <w:lang w:val="en-US"/>
              </w:rPr>
              <w:t>6</w:t>
            </w:r>
          </w:p>
        </w:tc>
        <w:tc>
          <w:tcPr>
            <w:tcW w:w="1401" w:type="dxa"/>
            <w:shd w:val="clear" w:color="auto" w:fill="FFFFFF"/>
            <w:vAlign w:val="center"/>
          </w:tcPr>
          <w:p w14:paraId="78B9ABED">
            <w:pPr>
              <w:spacing w:before="120" w:after="120"/>
              <w:jc w:val="center"/>
              <w:rPr>
                <w:color w:val="auto"/>
                <w:sz w:val="24"/>
                <w:szCs w:val="24"/>
              </w:rPr>
            </w:pPr>
          </w:p>
        </w:tc>
        <w:tc>
          <w:tcPr>
            <w:tcW w:w="3263" w:type="dxa"/>
            <w:shd w:val="clear" w:color="auto" w:fill="FFFFFF"/>
          </w:tcPr>
          <w:p w14:paraId="2C0E101F">
            <w:pPr>
              <w:spacing w:before="120" w:after="120"/>
              <w:ind w:left="6" w:right="136" w:firstLine="284"/>
              <w:jc w:val="both"/>
              <w:rPr>
                <w:color w:val="auto"/>
                <w:sz w:val="24"/>
                <w:szCs w:val="24"/>
              </w:rPr>
            </w:pPr>
            <w:r>
              <w:rPr>
                <w:color w:val="auto"/>
                <w:sz w:val="24"/>
                <w:szCs w:val="24"/>
              </w:rPr>
              <w:t>- Đề nghị bổ sung, phân tích cụ thể lý do chỉnh lý thẩm quyền quy định việc nhập khẩu máy móc, thiết bị, dây chuyền công nghệ đã qua sử dụng.</w:t>
            </w:r>
          </w:p>
          <w:p w14:paraId="7BAC4326">
            <w:pPr>
              <w:pStyle w:val="12"/>
              <w:ind w:left="6" w:right="136" w:firstLine="284"/>
              <w:jc w:val="both"/>
              <w:rPr>
                <w:color w:val="auto"/>
                <w:sz w:val="24"/>
                <w:szCs w:val="24"/>
              </w:rPr>
            </w:pPr>
            <w:r>
              <w:rPr>
                <w:color w:val="auto"/>
                <w:sz w:val="24"/>
                <w:szCs w:val="24"/>
              </w:rPr>
              <w:t xml:space="preserve">- Tại cột số 4 đề nghị </w:t>
            </w:r>
            <w:r>
              <w:rPr>
                <w:b/>
                <w:bCs/>
                <w:i/>
                <w:iCs/>
                <w:color w:val="auto"/>
                <w:sz w:val="24"/>
                <w:szCs w:val="24"/>
              </w:rPr>
              <w:t>chỉ nêu</w:t>
            </w:r>
            <w:r>
              <w:rPr>
                <w:color w:val="auto"/>
                <w:sz w:val="24"/>
                <w:szCs w:val="24"/>
              </w:rPr>
              <w:t xml:space="preserve"> văn bản hiện hành (nếu có) đang có quy định liên quan đến văn bản đề xuất ban hành mới tại cột số 2 (văn bản đề xuất ban hành mới tại cột số 2 </w:t>
            </w:r>
            <w:r>
              <w:rPr>
                <w:b/>
                <w:bCs/>
                <w:i/>
                <w:iCs/>
                <w:color w:val="auto"/>
                <w:sz w:val="24"/>
                <w:szCs w:val="24"/>
              </w:rPr>
              <w:t>phải là văn bản có hiệu lực pháp lý cao hơn</w:t>
            </w:r>
            <w:r>
              <w:rPr>
                <w:color w:val="auto"/>
                <w:sz w:val="24"/>
                <w:szCs w:val="24"/>
              </w:rPr>
              <w:t>).</w:t>
            </w:r>
          </w:p>
        </w:tc>
      </w:tr>
      <w:tr w14:paraId="4ADD9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jc w:val="center"/>
        </w:trPr>
        <w:tc>
          <w:tcPr>
            <w:tcW w:w="703" w:type="dxa"/>
            <w:shd w:val="clear" w:color="auto" w:fill="FFFFFF"/>
          </w:tcPr>
          <w:p w14:paraId="7D88288D">
            <w:pPr>
              <w:spacing w:before="120" w:after="120"/>
              <w:jc w:val="center"/>
              <w:rPr>
                <w:b/>
                <w:bCs/>
                <w:color w:val="auto"/>
                <w:sz w:val="24"/>
                <w:szCs w:val="24"/>
              </w:rPr>
            </w:pPr>
          </w:p>
        </w:tc>
        <w:tc>
          <w:tcPr>
            <w:tcW w:w="15029" w:type="dxa"/>
            <w:gridSpan w:val="8"/>
            <w:shd w:val="clear" w:color="auto" w:fill="FFFFFF"/>
            <w:vAlign w:val="center"/>
          </w:tcPr>
          <w:p w14:paraId="56F80D94">
            <w:pPr>
              <w:spacing w:before="120" w:after="120"/>
              <w:ind w:left="6" w:right="136" w:firstLine="284"/>
              <w:jc w:val="center"/>
              <w:rPr>
                <w:b/>
                <w:bCs/>
                <w:color w:val="auto"/>
                <w:sz w:val="24"/>
                <w:szCs w:val="24"/>
              </w:rPr>
            </w:pPr>
            <w:r>
              <w:rPr>
                <w:b/>
                <w:bCs/>
                <w:color w:val="auto"/>
                <w:sz w:val="24"/>
                <w:szCs w:val="24"/>
              </w:rPr>
              <w:t>II</w:t>
            </w:r>
            <w:sdt>
              <w:sdtPr>
                <w:rPr>
                  <w:color w:val="auto"/>
                  <w:sz w:val="24"/>
                  <w:szCs w:val="24"/>
                </w:rPr>
                <w:tag w:val="goog_rdk_0"/>
                <w:id w:val="141439524"/>
              </w:sdtPr>
              <w:sdtEndPr>
                <w:rPr>
                  <w:color w:val="auto"/>
                  <w:sz w:val="24"/>
                  <w:szCs w:val="24"/>
                </w:rPr>
              </w:sdtEndPr>
              <w:sdtContent>
                <w:sdt>
                  <w:sdtPr>
                    <w:rPr>
                      <w:color w:val="auto"/>
                      <w:sz w:val="24"/>
                      <w:szCs w:val="24"/>
                    </w:rPr>
                    <w:tag w:val="goog_rdk_1"/>
                    <w:id w:val="-161075677"/>
                    <w:showingPlcHdr/>
                  </w:sdtPr>
                  <w:sdtEndPr>
                    <w:rPr>
                      <w:color w:val="auto"/>
                      <w:sz w:val="24"/>
                      <w:szCs w:val="24"/>
                    </w:rPr>
                  </w:sdtEndPr>
                  <w:sdtContent>
                    <w:r>
                      <w:rPr>
                        <w:color w:val="auto"/>
                        <w:sz w:val="24"/>
                        <w:szCs w:val="24"/>
                        <w:lang w:val="en-US"/>
                      </w:rPr>
                      <w:t xml:space="preserve">     </w:t>
                    </w:r>
                  </w:sdtContent>
                </w:sdt>
              </w:sdtContent>
            </w:sdt>
            <w:r>
              <w:rPr>
                <w:b/>
                <w:bCs/>
                <w:color w:val="auto"/>
                <w:sz w:val="24"/>
                <w:szCs w:val="24"/>
              </w:rPr>
              <w:t>. LĨNH VỰC NĂNG LƯỢNG NGUYÊN TỬ</w:t>
            </w:r>
          </w:p>
        </w:tc>
      </w:tr>
      <w:tr w14:paraId="2910E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jc w:val="center"/>
        </w:trPr>
        <w:tc>
          <w:tcPr>
            <w:tcW w:w="703" w:type="dxa"/>
            <w:shd w:val="clear" w:color="auto" w:fill="FFFFFF"/>
            <w:vAlign w:val="center"/>
          </w:tcPr>
          <w:p w14:paraId="324ACA16">
            <w:pPr>
              <w:numPr>
                <w:ilvl w:val="0"/>
                <w:numId w:val="1"/>
              </w:numPr>
              <w:spacing w:before="120" w:after="120"/>
              <w:jc w:val="center"/>
              <w:rPr>
                <w:color w:val="auto"/>
                <w:sz w:val="24"/>
                <w:szCs w:val="24"/>
              </w:rPr>
            </w:pPr>
          </w:p>
        </w:tc>
        <w:tc>
          <w:tcPr>
            <w:tcW w:w="1720" w:type="dxa"/>
            <w:shd w:val="clear" w:color="auto" w:fill="FFFFFF"/>
          </w:tcPr>
          <w:p w14:paraId="7A378D4C">
            <w:pPr>
              <w:tabs>
                <w:tab w:val="left" w:pos="-2144"/>
                <w:tab w:val="left" w:pos="-1475"/>
                <w:tab w:val="right" w:pos="8640"/>
              </w:tabs>
              <w:ind w:left="1" w:right="-16"/>
              <w:jc w:val="both"/>
              <w:rPr>
                <w:color w:val="auto"/>
                <w:sz w:val="24"/>
                <w:szCs w:val="24"/>
              </w:rPr>
            </w:pPr>
            <w:r>
              <w:rPr>
                <w:color w:val="auto"/>
                <w:sz w:val="24"/>
                <w:szCs w:val="24"/>
              </w:rPr>
              <w:t>Nghị định quy định chế độ phụ cấp ưu đãi nghề nghiệp đối với người làm việc trong lĩnh vực năng lượng nguyên tử hưởng lương từ ngân sách nhà nước</w:t>
            </w:r>
          </w:p>
        </w:tc>
        <w:tc>
          <w:tcPr>
            <w:tcW w:w="2322" w:type="dxa"/>
            <w:shd w:val="clear" w:color="auto" w:fill="FFFFFF"/>
          </w:tcPr>
          <w:p w14:paraId="40349E9C">
            <w:pPr>
              <w:tabs>
                <w:tab w:val="left" w:pos="-2144"/>
                <w:tab w:val="right" w:pos="8640"/>
              </w:tabs>
              <w:ind w:left="140" w:leftChars="0" w:right="84" w:rightChars="0" w:firstLine="0" w:firstLineChars="0"/>
              <w:jc w:val="both"/>
              <w:rPr>
                <w:color w:val="auto"/>
                <w:sz w:val="24"/>
                <w:szCs w:val="24"/>
              </w:rPr>
            </w:pPr>
            <w:r>
              <w:rPr>
                <w:color w:val="auto"/>
                <w:sz w:val="24"/>
                <w:szCs w:val="24"/>
              </w:rPr>
              <w:t>Tình hình thực tiễn hiện nay chưa có văn bản hướng dẫn về chế độ phụ cấp ưu đãi nghề nghiệp đối với người làm việc trong lĩnh vực năng lượng nguyên tử, trong khi đó,  một số vị trí làm việc trong lĩnh vực năng lượng nguyên tử thuộc đối tượng làm việc trong môi trường độc hại, nguy hiểm</w:t>
            </w:r>
          </w:p>
        </w:tc>
        <w:tc>
          <w:tcPr>
            <w:tcW w:w="2726" w:type="dxa"/>
            <w:shd w:val="clear" w:color="auto" w:fill="FFFFFF"/>
          </w:tcPr>
          <w:p w14:paraId="21F833EC">
            <w:pPr>
              <w:tabs>
                <w:tab w:val="left" w:pos="3826"/>
                <w:tab w:val="right" w:pos="8640"/>
              </w:tabs>
              <w:ind w:left="137" w:right="112"/>
              <w:jc w:val="both"/>
              <w:rPr>
                <w:color w:val="auto"/>
                <w:sz w:val="24"/>
                <w:szCs w:val="24"/>
              </w:rPr>
            </w:pPr>
            <w:r>
              <w:rPr>
                <w:color w:val="auto"/>
                <w:sz w:val="24"/>
                <w:szCs w:val="24"/>
              </w:rPr>
              <w:t>- Tại khoản 3 Điều 16 Nghị định số 331/2025/NĐ-CP, quy định về phụ cấp ưu đãi nghề nghiệp và phụ cấp độc hại, nguy hiểm đối với người làm việc trong lĩnh vực năng lượng nguyên tử “Bộ Khoa học và Công nghệ chủ trì, phối hợp với Bộ Nội vụ xây dựng quy định về chế độ phụ cấp ưu đãi nghề nghiệp đối với người làm việc trong lĩnh vực năng lượng nguyên tử được quy định tại khoản 1 Điều này trình cấp có thẩm quyền xem xét, quyết định.”</w:t>
            </w:r>
          </w:p>
          <w:p w14:paraId="3DB5A635">
            <w:pPr>
              <w:tabs>
                <w:tab w:val="left" w:pos="3826"/>
                <w:tab w:val="right" w:pos="8640"/>
              </w:tabs>
              <w:ind w:left="137" w:right="112"/>
              <w:jc w:val="both"/>
              <w:rPr>
                <w:color w:val="auto"/>
                <w:sz w:val="24"/>
                <w:szCs w:val="24"/>
              </w:rPr>
            </w:pPr>
            <w:r>
              <w:rPr>
                <w:color w:val="auto"/>
                <w:sz w:val="24"/>
                <w:szCs w:val="24"/>
              </w:rPr>
              <w:t>- Quyết định số 45/2014/QĐ-TTg ngày 15/8/2014 về chế độ phụ cấp ưu đãi nghề nghiệp đối với người làm việc trong các đơn vị thuộc lĩnh vực năng lượng nguyên tử của Bộ Khoa học và Công nghệ</w:t>
            </w:r>
          </w:p>
        </w:tc>
        <w:tc>
          <w:tcPr>
            <w:tcW w:w="1281" w:type="dxa"/>
            <w:shd w:val="clear" w:color="auto" w:fill="FFFFFF"/>
          </w:tcPr>
          <w:p w14:paraId="7CB6096E">
            <w:pPr>
              <w:tabs>
                <w:tab w:val="left" w:pos="1275"/>
                <w:tab w:val="left" w:pos="2930"/>
                <w:tab w:val="right" w:pos="8640"/>
              </w:tabs>
              <w:ind w:right="-11"/>
              <w:jc w:val="both"/>
              <w:rPr>
                <w:color w:val="auto"/>
                <w:sz w:val="24"/>
                <w:szCs w:val="24"/>
              </w:rPr>
            </w:pPr>
            <w:r>
              <w:rPr>
                <w:color w:val="auto"/>
                <w:sz w:val="24"/>
                <w:szCs w:val="24"/>
              </w:rPr>
              <w:t>Các quy định phụ cấp ưu đãi</w:t>
            </w:r>
          </w:p>
        </w:tc>
        <w:tc>
          <w:tcPr>
            <w:tcW w:w="1203" w:type="dxa"/>
            <w:shd w:val="clear" w:color="auto" w:fill="FFFFFF"/>
          </w:tcPr>
          <w:p w14:paraId="6E94BA6B">
            <w:pPr>
              <w:tabs>
                <w:tab w:val="left" w:pos="1275"/>
                <w:tab w:val="left" w:pos="2930"/>
                <w:tab w:val="right" w:pos="8640"/>
              </w:tabs>
              <w:ind w:right="-11"/>
              <w:jc w:val="center"/>
              <w:rPr>
                <w:color w:val="auto"/>
                <w:sz w:val="24"/>
                <w:szCs w:val="24"/>
              </w:rPr>
            </w:pPr>
            <w:r>
              <w:rPr>
                <w:rFonts w:hint="default"/>
                <w:color w:val="auto"/>
                <w:sz w:val="24"/>
                <w:szCs w:val="24"/>
                <w:lang w:val="en-US"/>
              </w:rPr>
              <w:t>Tháng 12/</w:t>
            </w:r>
            <w:r>
              <w:rPr>
                <w:color w:val="auto"/>
                <w:sz w:val="24"/>
                <w:szCs w:val="24"/>
              </w:rPr>
              <w:t>2026</w:t>
            </w:r>
          </w:p>
        </w:tc>
        <w:tc>
          <w:tcPr>
            <w:tcW w:w="1113" w:type="dxa"/>
            <w:shd w:val="clear" w:color="auto" w:fill="FFFFFF"/>
          </w:tcPr>
          <w:p w14:paraId="5AC085A5">
            <w:pPr>
              <w:spacing w:before="120" w:after="120"/>
              <w:jc w:val="center"/>
              <w:rPr>
                <w:color w:val="auto"/>
                <w:sz w:val="24"/>
                <w:szCs w:val="24"/>
              </w:rPr>
            </w:pPr>
            <w:r>
              <w:rPr>
                <w:color w:val="auto"/>
                <w:sz w:val="24"/>
                <w:szCs w:val="24"/>
              </w:rPr>
              <w:t>Tiêu chí số 5, 6</w:t>
            </w:r>
          </w:p>
        </w:tc>
        <w:tc>
          <w:tcPr>
            <w:tcW w:w="1401" w:type="dxa"/>
            <w:shd w:val="clear" w:color="auto" w:fill="FFFFFF"/>
            <w:vAlign w:val="center"/>
          </w:tcPr>
          <w:p w14:paraId="26D3DEA3">
            <w:pPr>
              <w:spacing w:before="120" w:after="120"/>
              <w:jc w:val="center"/>
              <w:rPr>
                <w:color w:val="auto"/>
                <w:sz w:val="24"/>
                <w:szCs w:val="24"/>
              </w:rPr>
            </w:pPr>
            <w:r>
              <w:rPr>
                <w:color w:val="auto"/>
                <w:sz w:val="24"/>
                <w:szCs w:val="24"/>
              </w:rPr>
              <w:t>Đã cập nhật theo ý kiến thẩm định</w:t>
            </w:r>
          </w:p>
        </w:tc>
        <w:tc>
          <w:tcPr>
            <w:tcW w:w="3263" w:type="dxa"/>
            <w:shd w:val="clear" w:color="auto" w:fill="FFFFFF"/>
          </w:tcPr>
          <w:p w14:paraId="4F4A1876">
            <w:pPr>
              <w:spacing w:before="120" w:after="120"/>
              <w:ind w:left="6" w:right="136" w:firstLine="284"/>
              <w:jc w:val="both"/>
              <w:rPr>
                <w:color w:val="auto"/>
                <w:sz w:val="24"/>
                <w:szCs w:val="24"/>
              </w:rPr>
            </w:pPr>
            <w:r>
              <w:rPr>
                <w:color w:val="auto"/>
                <w:sz w:val="24"/>
                <w:szCs w:val="24"/>
              </w:rPr>
              <w:t xml:space="preserve">- Cần làm rõ loại hình văn bản dự kiến ban hành. </w:t>
            </w:r>
          </w:p>
          <w:p w14:paraId="40EFFED1">
            <w:pPr>
              <w:spacing w:before="120" w:after="120"/>
              <w:ind w:left="6" w:right="136" w:firstLine="284"/>
              <w:jc w:val="both"/>
              <w:rPr>
                <w:color w:val="auto"/>
                <w:sz w:val="24"/>
                <w:szCs w:val="24"/>
              </w:rPr>
            </w:pPr>
            <w:r>
              <w:rPr>
                <w:color w:val="auto"/>
                <w:sz w:val="24"/>
                <w:szCs w:val="24"/>
              </w:rPr>
              <w:t>- Cần làm rõ, bổ sung thêm phân tích “</w:t>
            </w:r>
            <w:r>
              <w:rPr>
                <w:i/>
                <w:iCs/>
                <w:color w:val="auto"/>
                <w:sz w:val="24"/>
                <w:szCs w:val="24"/>
              </w:rPr>
              <w:t>tình hình thực tiễn</w:t>
            </w:r>
            <w:r>
              <w:rPr>
                <w:color w:val="auto"/>
                <w:sz w:val="24"/>
                <w:szCs w:val="24"/>
              </w:rPr>
              <w:t>” là căn cứ rà soát (Trường hợp nội dung tại cột 4 hiện nay là tình hình thực tiễn thì đề nghị chuyển nội dung từ cột 4 sang cột 3 để bảo đảm phù hợp)</w:t>
            </w:r>
          </w:p>
          <w:p w14:paraId="746E3134">
            <w:pPr>
              <w:spacing w:before="120" w:after="120"/>
              <w:ind w:left="6" w:right="136" w:firstLine="284"/>
              <w:jc w:val="both"/>
              <w:rPr>
                <w:color w:val="auto"/>
                <w:sz w:val="24"/>
                <w:szCs w:val="24"/>
              </w:rPr>
            </w:pPr>
            <w:r>
              <w:rPr>
                <w:color w:val="auto"/>
                <w:sz w:val="24"/>
                <w:szCs w:val="24"/>
              </w:rPr>
              <w:t xml:space="preserve">- Tại cột số 4 đề nghị </w:t>
            </w:r>
            <w:r>
              <w:rPr>
                <w:b/>
                <w:bCs/>
                <w:i/>
                <w:iCs/>
                <w:color w:val="auto"/>
                <w:sz w:val="24"/>
                <w:szCs w:val="24"/>
              </w:rPr>
              <w:t>chỉ nêu</w:t>
            </w:r>
            <w:r>
              <w:rPr>
                <w:color w:val="auto"/>
                <w:sz w:val="24"/>
                <w:szCs w:val="24"/>
              </w:rPr>
              <w:t xml:space="preserve"> văn bản hiện hành (nếu có) đang có quy định liên quan đến văn bản đề xuất ban hành mới tại cột số 2 (văn bản đề xuất ban hành mới tại cột số 2 </w:t>
            </w:r>
            <w:r>
              <w:rPr>
                <w:b/>
                <w:bCs/>
                <w:i/>
                <w:iCs/>
                <w:color w:val="auto"/>
                <w:sz w:val="24"/>
                <w:szCs w:val="24"/>
              </w:rPr>
              <w:t>phải là văn bản có hiệu lực pháp lý cao hơn</w:t>
            </w:r>
            <w:r>
              <w:rPr>
                <w:color w:val="auto"/>
                <w:sz w:val="24"/>
                <w:szCs w:val="24"/>
              </w:rPr>
              <w:t>).</w:t>
            </w:r>
          </w:p>
        </w:tc>
      </w:tr>
      <w:tr w14:paraId="398079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jc w:val="center"/>
        </w:trPr>
        <w:tc>
          <w:tcPr>
            <w:tcW w:w="703" w:type="dxa"/>
          </w:tcPr>
          <w:p w14:paraId="49758D13">
            <w:pPr>
              <w:spacing w:before="120" w:after="120"/>
              <w:jc w:val="center"/>
              <w:rPr>
                <w:b/>
                <w:bCs/>
                <w:color w:val="auto"/>
                <w:sz w:val="24"/>
                <w:szCs w:val="24"/>
              </w:rPr>
            </w:pPr>
          </w:p>
        </w:tc>
        <w:tc>
          <w:tcPr>
            <w:tcW w:w="15029" w:type="dxa"/>
            <w:gridSpan w:val="8"/>
            <w:vAlign w:val="center"/>
          </w:tcPr>
          <w:p w14:paraId="626E38A8">
            <w:pPr>
              <w:spacing w:before="120" w:after="120"/>
              <w:ind w:left="3" w:right="138"/>
              <w:jc w:val="center"/>
              <w:rPr>
                <w:color w:val="auto"/>
                <w:sz w:val="24"/>
                <w:szCs w:val="24"/>
              </w:rPr>
            </w:pPr>
            <w:r>
              <w:rPr>
                <w:b/>
                <w:bCs/>
                <w:color w:val="auto"/>
                <w:sz w:val="24"/>
                <w:szCs w:val="24"/>
              </w:rPr>
              <w:t>Tổng số: 0</w:t>
            </w:r>
            <w:r>
              <w:rPr>
                <w:rFonts w:hint="default"/>
                <w:b/>
                <w:bCs/>
                <w:color w:val="auto"/>
                <w:sz w:val="24"/>
                <w:szCs w:val="24"/>
                <w:lang w:val="en-US"/>
              </w:rPr>
              <w:t>2</w:t>
            </w:r>
            <w:r>
              <w:rPr>
                <w:b/>
                <w:bCs/>
                <w:color w:val="auto"/>
                <w:sz w:val="24"/>
                <w:szCs w:val="24"/>
              </w:rPr>
              <w:t xml:space="preserve"> nội dung</w:t>
            </w:r>
          </w:p>
        </w:tc>
      </w:tr>
    </w:tbl>
    <w:p w14:paraId="10C97463">
      <w:pPr>
        <w:spacing w:before="120" w:after="120" w:line="264" w:lineRule="auto"/>
        <w:jc w:val="both"/>
        <w:rPr>
          <w:color w:val="auto"/>
          <w:sz w:val="26"/>
          <w:szCs w:val="26"/>
        </w:rPr>
      </w:pPr>
    </w:p>
    <w:sectPr>
      <w:headerReference r:id="rId3" w:type="default"/>
      <w:footerReference r:id="rId4" w:type="default"/>
      <w:footerReference r:id="rId5" w:type="even"/>
      <w:pgSz w:w="16840" w:h="11907" w:orient="landscape"/>
      <w:pgMar w:top="851" w:right="1134" w:bottom="851" w:left="1134" w:header="720" w:footer="720" w:gutter="0"/>
      <w:pgNumType w:start="1"/>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089EF036-CA9C-4C7D-A74B-8374CE8521B0}"/>
  </w:font>
  <w:font w:name="Arial">
    <w:panose1 w:val="020B0604020202020204"/>
    <w:charset w:val="00"/>
    <w:family w:val="swiss"/>
    <w:pitch w:val="default"/>
    <w:sig w:usb0="E0002EFF" w:usb1="C000785B" w:usb2="00000009" w:usb3="00000000" w:csb0="400001FF" w:csb1="FFFF0000"/>
    <w:embedRegular r:id="rId2" w:fontKey="{07FB0476-C066-4F40-AC93-1A6E3AA5B3FF}"/>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B90C069E-5136-400D-92EF-4E64722AAC70}"/>
  </w:font>
  <w:font w:name="Wingdings">
    <w:panose1 w:val="05000000000000000000"/>
    <w:charset w:val="02"/>
    <w:family w:val="auto"/>
    <w:pitch w:val="default"/>
    <w:sig w:usb0="00000000" w:usb1="00000000" w:usb2="00000000" w:usb3="00000000" w:csb0="80000000" w:csb1="00000000"/>
    <w:embedRegular r:id="rId4" w:fontKey="{622535FA-31C5-4246-93B4-66CA57F8BD70}"/>
  </w:font>
  <w:font w:name="Calibri">
    <w:panose1 w:val="020F0502020204030204"/>
    <w:charset w:val="00"/>
    <w:family w:val="swiss"/>
    <w:pitch w:val="default"/>
    <w:sig w:usb0="E4002EFF" w:usb1="C000247B" w:usb2="00000009" w:usb3="00000000" w:csb0="200001FF" w:csb1="00000000"/>
    <w:embedRegular r:id="rId5" w:fontKey="{F0720622-1A79-4DD7-8313-EFF8CFFC08B0}"/>
  </w:font>
  <w:font w:name="Segoe UI">
    <w:panose1 w:val="020B0502040204020203"/>
    <w:charset w:val="00"/>
    <w:family w:val="swiss"/>
    <w:pitch w:val="default"/>
    <w:sig w:usb0="E4002EFF" w:usb1="C000E47F" w:usb2="00000009" w:usb3="00000000" w:csb0="200001FF" w:csb1="00000000"/>
    <w:embedRegular r:id="rId6" w:fontKey="{BB191C1A-5095-43F8-AB6E-78EA86C726BA}"/>
  </w:font>
  <w:font w:name="Georgia">
    <w:panose1 w:val="02040502050405020303"/>
    <w:charset w:val="00"/>
    <w:family w:val="roman"/>
    <w:pitch w:val="default"/>
    <w:sig w:usb0="00000287" w:usb1="00000000" w:usb2="00000000" w:usb3="00000000" w:csb0="2000009F" w:csb1="00000000"/>
    <w:embedRegular r:id="rId7" w:fontKey="{DDF1AD58-ADEE-4BE7-B295-3A81EC4EC4A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E9098">
    <w:pPr>
      <w:tabs>
        <w:tab w:val="center" w:pos="4320"/>
        <w:tab w:val="right" w:pos="8640"/>
      </w:tabs>
      <w:ind w:right="360"/>
      <w:rPr>
        <w:color w:val="000000"/>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1BA97A">
    <w:pPr>
      <w:tabs>
        <w:tab w:val="center" w:pos="4320"/>
        <w:tab w:val="right" w:pos="8640"/>
      </w:tabs>
      <w:jc w:val="right"/>
      <w:rPr>
        <w:color w:val="000000"/>
        <w:sz w:val="24"/>
        <w:szCs w:val="24"/>
      </w:rPr>
    </w:pPr>
    <w:r>
      <w:rPr>
        <w:color w:val="000000"/>
        <w:sz w:val="24"/>
        <w:szCs w:val="24"/>
      </w:rPr>
      <w:fldChar w:fldCharType="begin"/>
    </w:r>
    <w:r>
      <w:rPr>
        <w:color w:val="000000"/>
        <w:sz w:val="24"/>
        <w:szCs w:val="24"/>
      </w:rPr>
      <w:instrText xml:space="preserve">PAGE</w:instrText>
    </w:r>
    <w:r>
      <w:rPr>
        <w:color w:val="000000"/>
        <w:sz w:val="24"/>
        <w:szCs w:val="24"/>
      </w:rPr>
      <w:fldChar w:fldCharType="end"/>
    </w:r>
  </w:p>
  <w:p w14:paraId="48416537">
    <w:pPr>
      <w:tabs>
        <w:tab w:val="center" w:pos="4320"/>
        <w:tab w:val="right" w:pos="8640"/>
      </w:tabs>
      <w:ind w:right="360"/>
      <w:rPr>
        <w:color w:val="000000"/>
        <w:sz w:val="24"/>
        <w:szCs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BD128">
    <w:pPr>
      <w:tabs>
        <w:tab w:val="center" w:pos="4513"/>
        <w:tab w:val="right" w:pos="9026"/>
      </w:tabs>
      <w:jc w:val="center"/>
      <w:rPr>
        <w:color w:val="000000"/>
      </w:rPr>
    </w:pPr>
    <w:r>
      <w:rPr>
        <w:color w:val="000000"/>
      </w:rPr>
      <w:fldChar w:fldCharType="begin"/>
    </w:r>
    <w:r>
      <w:rPr>
        <w:color w:val="000000"/>
      </w:rPr>
      <w:instrText xml:space="preserve">PAGE</w:instrText>
    </w:r>
    <w:r>
      <w:rPr>
        <w:color w:val="000000"/>
      </w:rPr>
      <w:fldChar w:fldCharType="separate"/>
    </w:r>
    <w:r>
      <w:rPr>
        <w:color w:val="000000"/>
      </w:rPr>
      <w:t>5</w:t>
    </w:r>
    <w:r>
      <w:rPr>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CEF5DDD"/>
    <w:multiLevelType w:val="multilevel"/>
    <w:tmpl w:val="6CEF5DDD"/>
    <w:lvl w:ilvl="0" w:tentative="0">
      <w:start w:val="1"/>
      <w:numFmt w:val="decimal"/>
      <w:lvlText w:val="%1."/>
      <w:lvlJc w:val="left"/>
      <w:pPr>
        <w:ind w:left="501" w:hanging="360"/>
      </w:pPr>
      <w:rPr>
        <w:vertAlign w:val="baseline"/>
      </w:rPr>
    </w:lvl>
    <w:lvl w:ilvl="1" w:tentative="0">
      <w:start w:val="1"/>
      <w:numFmt w:val="lowerLetter"/>
      <w:lvlText w:val="%2."/>
      <w:lvlJc w:val="left"/>
      <w:pPr>
        <w:ind w:left="1440" w:hanging="360"/>
      </w:pPr>
      <w:rPr>
        <w:vertAlign w:val="baseline"/>
      </w:rPr>
    </w:lvl>
    <w:lvl w:ilvl="2" w:tentative="0">
      <w:start w:val="1"/>
      <w:numFmt w:val="lowerRoman"/>
      <w:lvlText w:val="%3."/>
      <w:lvlJc w:val="right"/>
      <w:pPr>
        <w:ind w:left="2160" w:hanging="180"/>
      </w:pPr>
      <w:rPr>
        <w:vertAlign w:val="baseline"/>
      </w:rPr>
    </w:lvl>
    <w:lvl w:ilvl="3" w:tentative="0">
      <w:start w:val="1"/>
      <w:numFmt w:val="decimal"/>
      <w:lvlText w:val="%4."/>
      <w:lvlJc w:val="left"/>
      <w:pPr>
        <w:ind w:left="2880" w:hanging="360"/>
      </w:pPr>
      <w:rPr>
        <w:vertAlign w:val="baseline"/>
      </w:rPr>
    </w:lvl>
    <w:lvl w:ilvl="4" w:tentative="0">
      <w:start w:val="1"/>
      <w:numFmt w:val="lowerLetter"/>
      <w:lvlText w:val="%5."/>
      <w:lvlJc w:val="left"/>
      <w:pPr>
        <w:ind w:left="3600" w:hanging="360"/>
      </w:pPr>
      <w:rPr>
        <w:vertAlign w:val="baseline"/>
      </w:rPr>
    </w:lvl>
    <w:lvl w:ilvl="5" w:tentative="0">
      <w:start w:val="1"/>
      <w:numFmt w:val="lowerRoman"/>
      <w:lvlText w:val="%6."/>
      <w:lvlJc w:val="right"/>
      <w:pPr>
        <w:ind w:left="4320" w:hanging="180"/>
      </w:pPr>
      <w:rPr>
        <w:vertAlign w:val="baseline"/>
      </w:rPr>
    </w:lvl>
    <w:lvl w:ilvl="6" w:tentative="0">
      <w:start w:val="1"/>
      <w:numFmt w:val="decimal"/>
      <w:lvlText w:val="%7."/>
      <w:lvlJc w:val="left"/>
      <w:pPr>
        <w:ind w:left="5040" w:hanging="360"/>
      </w:pPr>
      <w:rPr>
        <w:vertAlign w:val="baseline"/>
      </w:rPr>
    </w:lvl>
    <w:lvl w:ilvl="7" w:tentative="0">
      <w:start w:val="1"/>
      <w:numFmt w:val="lowerLetter"/>
      <w:lvlText w:val="%8."/>
      <w:lvlJc w:val="left"/>
      <w:pPr>
        <w:ind w:left="5760" w:hanging="360"/>
      </w:pPr>
      <w:rPr>
        <w:vertAlign w:val="baseline"/>
      </w:rPr>
    </w:lvl>
    <w:lvl w:ilvl="8" w:tentative="0">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TrueTypeFonts/>
  <w:bordersDoNotSurroundHeader w:val="0"/>
  <w:bordersDoNotSurroundFooter w:val="0"/>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2707"/>
    <w:rsid w:val="00037A5C"/>
    <w:rsid w:val="00096DD5"/>
    <w:rsid w:val="000E4F64"/>
    <w:rsid w:val="001A1345"/>
    <w:rsid w:val="001D4E48"/>
    <w:rsid w:val="00211C0A"/>
    <w:rsid w:val="00216393"/>
    <w:rsid w:val="002238FE"/>
    <w:rsid w:val="00227088"/>
    <w:rsid w:val="002328B8"/>
    <w:rsid w:val="00277DAB"/>
    <w:rsid w:val="002A6343"/>
    <w:rsid w:val="002C718A"/>
    <w:rsid w:val="002E7C92"/>
    <w:rsid w:val="003067D0"/>
    <w:rsid w:val="00322120"/>
    <w:rsid w:val="00333110"/>
    <w:rsid w:val="003411DA"/>
    <w:rsid w:val="003422E6"/>
    <w:rsid w:val="003425C7"/>
    <w:rsid w:val="00381818"/>
    <w:rsid w:val="003855AB"/>
    <w:rsid w:val="003A2707"/>
    <w:rsid w:val="003C4EEB"/>
    <w:rsid w:val="003E1A1D"/>
    <w:rsid w:val="00446636"/>
    <w:rsid w:val="004914F8"/>
    <w:rsid w:val="004A2DC3"/>
    <w:rsid w:val="004C426F"/>
    <w:rsid w:val="00505C5B"/>
    <w:rsid w:val="00512550"/>
    <w:rsid w:val="00531092"/>
    <w:rsid w:val="00633605"/>
    <w:rsid w:val="00656F0D"/>
    <w:rsid w:val="006769CE"/>
    <w:rsid w:val="00682C5F"/>
    <w:rsid w:val="006A187C"/>
    <w:rsid w:val="00701CBF"/>
    <w:rsid w:val="00741EAA"/>
    <w:rsid w:val="00776BAA"/>
    <w:rsid w:val="00780800"/>
    <w:rsid w:val="007942A5"/>
    <w:rsid w:val="007A5064"/>
    <w:rsid w:val="007C2B0C"/>
    <w:rsid w:val="007C52F8"/>
    <w:rsid w:val="007E4C07"/>
    <w:rsid w:val="008015C4"/>
    <w:rsid w:val="00810AD9"/>
    <w:rsid w:val="00832BB6"/>
    <w:rsid w:val="00837402"/>
    <w:rsid w:val="00855B7C"/>
    <w:rsid w:val="008622BE"/>
    <w:rsid w:val="008B45C6"/>
    <w:rsid w:val="008E2EF3"/>
    <w:rsid w:val="008E7E75"/>
    <w:rsid w:val="008F4632"/>
    <w:rsid w:val="00917E72"/>
    <w:rsid w:val="00924902"/>
    <w:rsid w:val="00934FDE"/>
    <w:rsid w:val="00951BF7"/>
    <w:rsid w:val="00974809"/>
    <w:rsid w:val="00984D9E"/>
    <w:rsid w:val="00987F43"/>
    <w:rsid w:val="00990B4F"/>
    <w:rsid w:val="009922C7"/>
    <w:rsid w:val="009A4520"/>
    <w:rsid w:val="009B7A11"/>
    <w:rsid w:val="009D341B"/>
    <w:rsid w:val="00A139CF"/>
    <w:rsid w:val="00A13D4B"/>
    <w:rsid w:val="00A21050"/>
    <w:rsid w:val="00A27263"/>
    <w:rsid w:val="00A90459"/>
    <w:rsid w:val="00AD2E2D"/>
    <w:rsid w:val="00B06AFA"/>
    <w:rsid w:val="00B2027F"/>
    <w:rsid w:val="00B37387"/>
    <w:rsid w:val="00B65847"/>
    <w:rsid w:val="00B84E0F"/>
    <w:rsid w:val="00BF29EE"/>
    <w:rsid w:val="00C1691D"/>
    <w:rsid w:val="00C26472"/>
    <w:rsid w:val="00C315A4"/>
    <w:rsid w:val="00C529AC"/>
    <w:rsid w:val="00D23017"/>
    <w:rsid w:val="00D44F94"/>
    <w:rsid w:val="00D8237A"/>
    <w:rsid w:val="00D91573"/>
    <w:rsid w:val="00DB5058"/>
    <w:rsid w:val="00DC3A3C"/>
    <w:rsid w:val="00DD3E7F"/>
    <w:rsid w:val="00E03A30"/>
    <w:rsid w:val="00E73296"/>
    <w:rsid w:val="00E73ECE"/>
    <w:rsid w:val="00E74F6C"/>
    <w:rsid w:val="00E91AF2"/>
    <w:rsid w:val="00EB4FC7"/>
    <w:rsid w:val="00EC32F0"/>
    <w:rsid w:val="00ED3183"/>
    <w:rsid w:val="00F022D1"/>
    <w:rsid w:val="00F0397D"/>
    <w:rsid w:val="00F20F6C"/>
    <w:rsid w:val="00F8035C"/>
    <w:rsid w:val="00F91A4E"/>
    <w:rsid w:val="00F97184"/>
    <w:rsid w:val="00FA54DB"/>
    <w:rsid w:val="00FE1AF4"/>
    <w:rsid w:val="164B4D9F"/>
    <w:rsid w:val="2CFA2EB9"/>
    <w:rsid w:val="33F36386"/>
    <w:rsid w:val="489421AF"/>
    <w:rsid w:val="507765E7"/>
    <w:rsid w:val="75450A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 w:eastAsia="en-US" w:bidi="ar-SA"/>
    </w:rPr>
  </w:style>
  <w:style w:type="paragraph" w:styleId="2">
    <w:name w:val="heading 1"/>
    <w:basedOn w:val="1"/>
    <w:next w:val="1"/>
    <w:qFormat/>
    <w:uiPriority w:val="9"/>
    <w:pPr>
      <w:keepNext/>
      <w:spacing w:before="240" w:after="60"/>
      <w:outlineLvl w:val="0"/>
    </w:pPr>
    <w:rPr>
      <w:rFonts w:ascii="Calibri" w:hAnsi="Calibri" w:eastAsia="Calibri" w:cs="Calibri"/>
      <w:b/>
      <w:bCs/>
      <w:sz w:val="32"/>
      <w:szCs w:val="32"/>
    </w:rPr>
  </w:style>
  <w:style w:type="paragraph" w:styleId="3">
    <w:name w:val="heading 2"/>
    <w:basedOn w:val="1"/>
    <w:next w:val="1"/>
    <w:semiHidden/>
    <w:unhideWhenUsed/>
    <w:qFormat/>
    <w:uiPriority w:val="9"/>
    <w:pPr>
      <w:keepNext/>
      <w:keepLines/>
      <w:spacing w:before="360" w:after="80"/>
      <w:outlineLvl w:val="1"/>
    </w:pPr>
    <w:rPr>
      <w:b/>
      <w:bCs/>
      <w:sz w:val="36"/>
      <w:szCs w:val="36"/>
    </w:rPr>
  </w:style>
  <w:style w:type="paragraph" w:styleId="4">
    <w:name w:val="heading 3"/>
    <w:basedOn w:val="1"/>
    <w:next w:val="1"/>
    <w:semiHidden/>
    <w:unhideWhenUsed/>
    <w:qFormat/>
    <w:uiPriority w:val="9"/>
    <w:pPr>
      <w:keepNext/>
      <w:keepLines/>
      <w:spacing w:before="280" w:after="80"/>
      <w:outlineLvl w:val="2"/>
    </w:pPr>
    <w:rPr>
      <w:b/>
      <w:bCs/>
    </w:rPr>
  </w:style>
  <w:style w:type="paragraph" w:styleId="5">
    <w:name w:val="heading 4"/>
    <w:basedOn w:val="1"/>
    <w:next w:val="1"/>
    <w:semiHidden/>
    <w:unhideWhenUsed/>
    <w:qFormat/>
    <w:uiPriority w:val="9"/>
    <w:pPr>
      <w:keepNext/>
      <w:keepLines/>
      <w:spacing w:before="240" w:after="40"/>
      <w:outlineLvl w:val="3"/>
    </w:pPr>
    <w:rPr>
      <w:b/>
      <w:bCs/>
      <w:sz w:val="24"/>
      <w:szCs w:val="24"/>
    </w:rPr>
  </w:style>
  <w:style w:type="paragraph" w:styleId="6">
    <w:name w:val="heading 5"/>
    <w:basedOn w:val="1"/>
    <w:next w:val="1"/>
    <w:semiHidden/>
    <w:unhideWhenUsed/>
    <w:qFormat/>
    <w:uiPriority w:val="9"/>
    <w:pPr>
      <w:keepNext/>
      <w:keepLines/>
      <w:spacing w:before="220" w:after="40"/>
      <w:outlineLvl w:val="4"/>
    </w:pPr>
    <w:rPr>
      <w:b/>
      <w:bCs/>
      <w:sz w:val="22"/>
      <w:szCs w:val="22"/>
    </w:rPr>
  </w:style>
  <w:style w:type="paragraph" w:styleId="7">
    <w:name w:val="heading 6"/>
    <w:basedOn w:val="1"/>
    <w:next w:val="1"/>
    <w:semiHidden/>
    <w:unhideWhenUsed/>
    <w:qFormat/>
    <w:uiPriority w:val="9"/>
    <w:pPr>
      <w:keepNext/>
      <w:keepLines/>
      <w:spacing w:before="200" w:after="40"/>
      <w:outlineLvl w:val="5"/>
    </w:pPr>
    <w:rPr>
      <w:b/>
      <w:bCs/>
      <w:sz w:val="20"/>
      <w:szCs w:val="20"/>
    </w:rPr>
  </w:style>
  <w:style w:type="character" w:default="1" w:styleId="8">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alloon Text"/>
    <w:basedOn w:val="1"/>
    <w:link w:val="20"/>
    <w:semiHidden/>
    <w:unhideWhenUsed/>
    <w:qFormat/>
    <w:uiPriority w:val="99"/>
    <w:rPr>
      <w:rFonts w:ascii="Segoe UI" w:hAnsi="Segoe UI" w:cs="Segoe UI"/>
      <w:sz w:val="18"/>
      <w:szCs w:val="18"/>
    </w:rPr>
  </w:style>
  <w:style w:type="character" w:styleId="11">
    <w:name w:val="annotation reference"/>
    <w:basedOn w:val="8"/>
    <w:semiHidden/>
    <w:unhideWhenUsed/>
    <w:qFormat/>
    <w:uiPriority w:val="99"/>
    <w:rPr>
      <w:sz w:val="16"/>
      <w:szCs w:val="16"/>
    </w:rPr>
  </w:style>
  <w:style w:type="paragraph" w:styleId="12">
    <w:name w:val="annotation text"/>
    <w:basedOn w:val="1"/>
    <w:link w:val="22"/>
    <w:unhideWhenUsed/>
    <w:qFormat/>
    <w:uiPriority w:val="99"/>
    <w:rPr>
      <w:sz w:val="20"/>
      <w:szCs w:val="20"/>
    </w:rPr>
  </w:style>
  <w:style w:type="paragraph" w:styleId="13">
    <w:name w:val="annotation subject"/>
    <w:basedOn w:val="12"/>
    <w:next w:val="12"/>
    <w:link w:val="23"/>
    <w:semiHidden/>
    <w:unhideWhenUsed/>
    <w:qFormat/>
    <w:uiPriority w:val="99"/>
    <w:rPr>
      <w:b/>
      <w:bCs/>
    </w:rPr>
  </w:style>
  <w:style w:type="character" w:styleId="14">
    <w:name w:val="Hyperlink"/>
    <w:basedOn w:val="8"/>
    <w:semiHidden/>
    <w:unhideWhenUsed/>
    <w:uiPriority w:val="99"/>
    <w:rPr>
      <w:color w:val="0000FF"/>
      <w:u w:val="single"/>
    </w:rPr>
  </w:style>
  <w:style w:type="paragraph" w:styleId="15">
    <w:name w:val="Normal (Web)"/>
    <w:semiHidden/>
    <w:unhideWhenUsed/>
    <w:uiPriority w:val="99"/>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paragraph" w:styleId="16">
    <w:name w:val="Subtitle"/>
    <w:basedOn w:val="1"/>
    <w:next w:val="1"/>
    <w:qFormat/>
    <w:uiPriority w:val="11"/>
    <w:pPr>
      <w:keepNext/>
      <w:keepLines/>
      <w:spacing w:before="360" w:after="80"/>
    </w:pPr>
    <w:rPr>
      <w:rFonts w:ascii="Georgia" w:hAnsi="Georgia" w:eastAsia="Georgia" w:cs="Georgia"/>
      <w:i/>
      <w:iCs/>
      <w:color w:val="666666"/>
      <w:sz w:val="48"/>
      <w:szCs w:val="48"/>
    </w:rPr>
  </w:style>
  <w:style w:type="paragraph" w:styleId="17">
    <w:name w:val="Title"/>
    <w:basedOn w:val="1"/>
    <w:next w:val="1"/>
    <w:qFormat/>
    <w:uiPriority w:val="10"/>
    <w:pPr>
      <w:keepNext/>
      <w:keepLines/>
      <w:spacing w:before="480" w:after="120"/>
    </w:pPr>
    <w:rPr>
      <w:b/>
      <w:bCs/>
      <w:sz w:val="72"/>
      <w:szCs w:val="72"/>
    </w:rPr>
  </w:style>
  <w:style w:type="table" w:customStyle="1" w:styleId="18">
    <w:name w:val="TableNormal"/>
    <w:qFormat/>
    <w:uiPriority w:val="0"/>
    <w:tblPr>
      <w:tblCellMar>
        <w:top w:w="100" w:type="dxa"/>
        <w:left w:w="100" w:type="dxa"/>
        <w:bottom w:w="100" w:type="dxa"/>
        <w:right w:w="100" w:type="dxa"/>
      </w:tblCellMar>
    </w:tblPr>
  </w:style>
  <w:style w:type="table" w:customStyle="1" w:styleId="19">
    <w:name w:val="_Style 12"/>
    <w:basedOn w:val="18"/>
    <w:qFormat/>
    <w:uiPriority w:val="0"/>
    <w:tblPr>
      <w:tblCellMar>
        <w:top w:w="0" w:type="dxa"/>
        <w:left w:w="0" w:type="dxa"/>
        <w:bottom w:w="0" w:type="dxa"/>
        <w:right w:w="0" w:type="dxa"/>
      </w:tblCellMar>
    </w:tblPr>
  </w:style>
  <w:style w:type="character" w:customStyle="1" w:styleId="20">
    <w:name w:val="Balloon Text Char"/>
    <w:basedOn w:val="8"/>
    <w:link w:val="10"/>
    <w:semiHidden/>
    <w:qFormat/>
    <w:uiPriority w:val="99"/>
    <w:rPr>
      <w:rFonts w:ascii="Segoe UI" w:hAnsi="Segoe UI" w:cs="Segoe UI"/>
      <w:sz w:val="18"/>
      <w:szCs w:val="18"/>
    </w:rPr>
  </w:style>
  <w:style w:type="paragraph" w:styleId="21">
    <w:name w:val="List Paragraph"/>
    <w:basedOn w:val="1"/>
    <w:qFormat/>
    <w:uiPriority w:val="34"/>
    <w:pPr>
      <w:ind w:left="720"/>
      <w:contextualSpacing/>
    </w:pPr>
  </w:style>
  <w:style w:type="character" w:customStyle="1" w:styleId="22">
    <w:name w:val="Comment Text Char"/>
    <w:basedOn w:val="8"/>
    <w:link w:val="12"/>
    <w:qFormat/>
    <w:uiPriority w:val="99"/>
    <w:rPr>
      <w:sz w:val="20"/>
      <w:szCs w:val="20"/>
    </w:rPr>
  </w:style>
  <w:style w:type="character" w:customStyle="1" w:styleId="23">
    <w:name w:val="Comment Subject Char"/>
    <w:basedOn w:val="22"/>
    <w:link w:val="13"/>
    <w:semiHidden/>
    <w:qFormat/>
    <w:uiPriority w:val="99"/>
    <w:rPr>
      <w:b/>
      <w:bCs/>
      <w:sz w:val="20"/>
      <w:szCs w:val="20"/>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rGwr76FkMtSUHuyEGYyIVMi7Uw==">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datastoreItem>
</file>

<file path=customXml/itemProps2.xml><?xml version="1.0" encoding="utf-8"?>
<ds:datastoreItem xmlns:ds="http://schemas.openxmlformats.org/officeDocument/2006/customXml" ds:itemID="{3CFAA7BC-C962-41C4-9AC8-3DF3842F2F89}">
  <ds:schemaRefs/>
</ds:datastoreItem>
</file>

<file path=docProps/app.xml><?xml version="1.0" encoding="utf-8"?>
<Properties xmlns="http://schemas.openxmlformats.org/officeDocument/2006/extended-properties" xmlns:vt="http://schemas.openxmlformats.org/officeDocument/2006/docPropsVTypes">
  <Template>Normal.dotm</Template>
  <Pages>3</Pages>
  <Words>1624</Words>
  <Characters>9261</Characters>
  <Lines>77</Lines>
  <Paragraphs>21</Paragraphs>
  <TotalTime>0</TotalTime>
  <ScaleCrop>false</ScaleCrop>
  <LinksUpToDate>false</LinksUpToDate>
  <CharactersWithSpaces>10864</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2026-07-16T03:44:00Z</dcterms:created>
  <dc:creator>ChuyenVien-PC</dc:creator>
  <cp:lastModifiedBy>Minh Hoàng Nguyễn</cp:lastModifiedBy>
  <cp:lastPrinted>2026-07-17T02:38:00Z</cp:lastPrinted>
  <dcterms:modified xsi:type="dcterms:W3CDTF">2026-08-01T04:41:58Z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08106CC1EB7742A2A3BA902786A508AB_13</vt:lpwstr>
  </property>
  <property fmtid="{D5CDD505-2E9C-101B-9397-08002B2CF9AE}" pid="4" name="KSOTemplateDocerSaveRecord">
    <vt:lpwstr>eyJoZGlkIjoiMzQzZTVhYjI0MTc2YmI1ZmYyYzBlMGFjMmY0OTFmODEifQ==</vt:lpwstr>
  </property>
</Properties>
</file>